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FA02" w14:textId="56E5BBC3" w:rsidR="00854F69" w:rsidRPr="00D959A4" w:rsidRDefault="000C7BA7" w:rsidP="000C7BA7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959A4">
        <w:rPr>
          <w:b/>
          <w:bCs/>
          <w:lang w:val="en-US"/>
        </w:rPr>
        <w:t>Creator</w:t>
      </w:r>
    </w:p>
    <w:p w14:paraId="56BCA839" w14:textId="77777777" w:rsidR="000C7BA7" w:rsidRPr="000C7BA7" w:rsidRDefault="000C7BA7" w:rsidP="000C7BA7">
      <w:pPr>
        <w:pStyle w:val="ListParagraph"/>
        <w:jc w:val="both"/>
      </w:pPr>
      <w:r w:rsidRPr="000C7BA7">
        <w:t>Suman Maity</w:t>
      </w:r>
      <w:r w:rsidRPr="000C7BA7">
        <w:rPr>
          <w:vertAlign w:val="superscript"/>
        </w:rPr>
        <w:t>1</w:t>
      </w:r>
      <w:r w:rsidRPr="000C7BA7">
        <w:t xml:space="preserve"> (</w:t>
      </w:r>
      <w:hyperlink r:id="rId5" w:history="1">
        <w:r w:rsidRPr="000C7BA7">
          <w:rPr>
            <w:rStyle w:val="Hyperlink"/>
          </w:rPr>
          <w:t>maity.suman@nies.go.jp</w:t>
        </w:r>
      </w:hyperlink>
      <w:r w:rsidRPr="000C7BA7">
        <w:t>); Yosuke Niwa</w:t>
      </w:r>
      <w:r w:rsidRPr="000C7BA7">
        <w:rPr>
          <w:vertAlign w:val="superscript"/>
        </w:rPr>
        <w:t>1</w:t>
      </w:r>
      <w:r w:rsidRPr="000C7BA7">
        <w:t xml:space="preserve"> (</w:t>
      </w:r>
      <w:hyperlink r:id="rId6" w:history="1">
        <w:r w:rsidRPr="000C7BA7">
          <w:rPr>
            <w:rStyle w:val="Hyperlink"/>
          </w:rPr>
          <w:t>niwa.yosuke@noes.go.jp</w:t>
        </w:r>
      </w:hyperlink>
      <w:r w:rsidRPr="000C7BA7">
        <w:t>)</w:t>
      </w:r>
    </w:p>
    <w:p w14:paraId="791292A5" w14:textId="173BA63F" w:rsidR="000C7BA7" w:rsidRPr="000C7BA7" w:rsidRDefault="000C7BA7" w:rsidP="000C7BA7">
      <w:pPr>
        <w:pStyle w:val="ListParagraph"/>
        <w:jc w:val="both"/>
      </w:pPr>
      <w:r w:rsidRPr="000C7BA7">
        <w:rPr>
          <w:vertAlign w:val="superscript"/>
        </w:rPr>
        <w:t>1</w:t>
      </w:r>
      <w:r w:rsidRPr="000C7BA7">
        <w:t>National Institute for Environmental Studies, Japan</w:t>
      </w:r>
      <w:r w:rsidR="00702E5A">
        <w:t>.</w:t>
      </w:r>
    </w:p>
    <w:p w14:paraId="26CC814C" w14:textId="77777777" w:rsidR="000C7BA7" w:rsidRPr="00D959A4" w:rsidRDefault="000C7BA7" w:rsidP="000C7BA7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959A4">
        <w:rPr>
          <w:b/>
          <w:bCs/>
        </w:rPr>
        <w:t>Inversion system settings</w:t>
      </w:r>
    </w:p>
    <w:p w14:paraId="4888982E" w14:textId="49644589" w:rsidR="000C7BA7" w:rsidRPr="000C7BA7" w:rsidRDefault="000C7BA7" w:rsidP="000C7BA7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0C7BA7">
        <w:rPr>
          <w:u w:val="single"/>
        </w:rPr>
        <w:t>System name</w:t>
      </w:r>
    </w:p>
    <w:p w14:paraId="03A517FC" w14:textId="19ECDEB0" w:rsidR="000C7BA7" w:rsidRPr="000C7BA7" w:rsidRDefault="000C7BA7" w:rsidP="000C7BA7">
      <w:pPr>
        <w:pStyle w:val="ListParagraph"/>
        <w:ind w:left="792"/>
        <w:jc w:val="both"/>
      </w:pPr>
      <w:r w:rsidRPr="000C7BA7">
        <w:t>NISMON-CO2 ver. 202</w:t>
      </w:r>
      <w:r w:rsidR="00820A7D">
        <w:t>6</w:t>
      </w:r>
      <w:r w:rsidRPr="000C7BA7">
        <w:t>.1</w:t>
      </w:r>
    </w:p>
    <w:p w14:paraId="2C87EDEB" w14:textId="719EE9D2" w:rsidR="000C7BA7" w:rsidRPr="000C7BA7" w:rsidRDefault="000C7BA7" w:rsidP="000C7BA7">
      <w:pPr>
        <w:pStyle w:val="ListParagraph"/>
        <w:ind w:left="792"/>
        <w:jc w:val="both"/>
      </w:pPr>
      <w:r w:rsidRPr="000C7BA7">
        <w:t>(Refs. Niwa et al., 2017a,b, 2021, 2022)</w:t>
      </w:r>
    </w:p>
    <w:p w14:paraId="0852790B" w14:textId="77777777" w:rsidR="000C7BA7" w:rsidRPr="000C7BA7" w:rsidRDefault="000C7BA7" w:rsidP="000C7BA7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0C7BA7">
        <w:rPr>
          <w:u w:val="single"/>
        </w:rPr>
        <w:t>Transport Model</w:t>
      </w:r>
    </w:p>
    <w:p w14:paraId="0267AEBE" w14:textId="77777777" w:rsidR="000C7BA7" w:rsidRPr="000C7BA7" w:rsidRDefault="000C7BA7" w:rsidP="000C7BA7">
      <w:pPr>
        <w:pStyle w:val="ListParagraph"/>
        <w:ind w:left="792"/>
        <w:jc w:val="both"/>
      </w:pPr>
      <w:r w:rsidRPr="000C7BA7">
        <w:t>NICAM-TM (Niwa et al., 2011; Niwa et al., 2017a)</w:t>
      </w:r>
    </w:p>
    <w:p w14:paraId="67D29659" w14:textId="77777777" w:rsidR="000C7BA7" w:rsidRPr="000C7BA7" w:rsidRDefault="000C7BA7" w:rsidP="000C7BA7">
      <w:pPr>
        <w:pStyle w:val="ListParagraph"/>
        <w:ind w:left="792"/>
        <w:jc w:val="both"/>
      </w:pPr>
      <w:r w:rsidRPr="000C7BA7">
        <w:t>Horizontal resolution: glevel-5 (~223 km)</w:t>
      </w:r>
    </w:p>
    <w:p w14:paraId="65588D37" w14:textId="77777777" w:rsidR="000C7BA7" w:rsidRPr="000C7BA7" w:rsidRDefault="000C7BA7" w:rsidP="000C7BA7">
      <w:pPr>
        <w:pStyle w:val="ListParagraph"/>
        <w:ind w:left="792"/>
        <w:jc w:val="both"/>
      </w:pPr>
      <w:r w:rsidRPr="000C7BA7">
        <w:t>Vertical layers: 40 (up to ~45km)</w:t>
      </w:r>
    </w:p>
    <w:p w14:paraId="451C2463" w14:textId="563FB6E7" w:rsidR="000C7BA7" w:rsidRPr="000C7BA7" w:rsidRDefault="000C7BA7" w:rsidP="000C7BA7">
      <w:pPr>
        <w:pStyle w:val="ListParagraph"/>
        <w:ind w:left="792"/>
        <w:jc w:val="both"/>
        <w:rPr>
          <w:u w:val="single"/>
        </w:rPr>
      </w:pPr>
      <w:r w:rsidRPr="000C7BA7">
        <w:t>Meteorological data: horizontal winds are nudged towards JRA3Q (Kosaka et al., 2024)</w:t>
      </w:r>
    </w:p>
    <w:p w14:paraId="4D6D7DD5" w14:textId="090F71B0" w:rsidR="000C7BA7" w:rsidRPr="000C7BA7" w:rsidRDefault="000C7BA7" w:rsidP="000C7BA7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0C7BA7">
        <w:rPr>
          <w:u w:val="single"/>
        </w:rPr>
        <w:t>Flux Model</w:t>
      </w:r>
    </w:p>
    <w:p w14:paraId="07BA19C4" w14:textId="2E170C37" w:rsidR="000C7BA7" w:rsidRPr="000C7BA7" w:rsidRDefault="000C7BA7" w:rsidP="000C7BA7">
      <w:pPr>
        <w:pStyle w:val="ListParagraph"/>
        <w:ind w:left="792"/>
        <w:jc w:val="both"/>
      </w:pPr>
      <w:r w:rsidRPr="000C7BA7">
        <w:t>The surface CO2 fluxes that are input to NICAM-TM can be described as:</w:t>
      </w:r>
    </w:p>
    <w:p w14:paraId="371D84C8" w14:textId="68558B30" w:rsidR="000C7BA7" w:rsidRPr="000C7BA7" w:rsidRDefault="00000000" w:rsidP="000C7BA7">
      <w:pPr>
        <w:pStyle w:val="ListParagraph"/>
        <w:ind w:left="792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CO2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fos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GPP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GPP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  <m:r>
                <w:rPr>
                  <w:rFonts w:ascii="Cambria Math" w:hAnsi="Cambria Math"/>
                </w:rPr>
                <m:t>+∆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GPP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RE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  <m:r>
                <w:rPr>
                  <w:rFonts w:ascii="Cambria Math" w:hAnsi="Cambria Math"/>
                </w:rPr>
                <m:t>+∆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other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fire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fire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</m:oMath>
      </m:oMathPara>
    </w:p>
    <w:p w14:paraId="7D868E89" w14:textId="28D60F81" w:rsidR="000C7BA7" w:rsidRPr="000C7BA7" w:rsidRDefault="000C7BA7" w:rsidP="000C7BA7">
      <w:pPr>
        <w:pStyle w:val="ListParagraph"/>
        <w:ind w:left="792"/>
        <w:jc w:val="both"/>
      </w:pPr>
      <m:oMathPara>
        <m:oMath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ocn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∆f</m:t>
              </m:r>
            </m:e>
            <m:sub>
              <m:r>
                <w:rPr>
                  <w:rFonts w:ascii="Cambria Math" w:hAnsi="Cambria Math"/>
                </w:rPr>
                <m:t>ocn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</m:oMath>
      </m:oMathPara>
    </w:p>
    <w:p w14:paraId="6ED7D870" w14:textId="60C623EF" w:rsidR="000C7BA7" w:rsidRPr="000C7BA7" w:rsidRDefault="000C7BA7" w:rsidP="000C7BA7">
      <w:pPr>
        <w:pStyle w:val="ListParagraph"/>
        <w:ind w:left="792"/>
        <w:jc w:val="both"/>
      </w:pPr>
      <w:r w:rsidRPr="000C7BA7">
        <w:t xml:space="preserve">Where </w:t>
      </w:r>
      <w:r w:rsidRPr="000C7BA7">
        <w:rPr>
          <w:i/>
          <w:iCs/>
        </w:rPr>
        <w:t>x</w:t>
      </w:r>
      <w:r w:rsidRPr="000C7BA7">
        <w:t xml:space="preserve"> and </w:t>
      </w:r>
      <w:r w:rsidRPr="000C7BA7">
        <w:rPr>
          <w:i/>
          <w:iCs/>
        </w:rPr>
        <w:t>t</w:t>
      </w:r>
      <w:r w:rsidRPr="000C7BA7">
        <w:t xml:space="preserve"> represent flux location and time respectively. Fluxes from </w:t>
      </w:r>
      <w:r w:rsidRPr="000C7BA7">
        <w:rPr>
          <w:i/>
          <w:iCs/>
        </w:rPr>
        <w:t>fossil fuel use and cement production</w:t>
      </w:r>
      <w:r w:rsidRPr="000C7BA7">
        <w:t xml:space="preserve">, </w:t>
      </w:r>
      <w:r w:rsidRPr="000C7BA7">
        <w:rPr>
          <w:i/>
          <w:iCs/>
        </w:rPr>
        <w:t>gross primary production (GPP)</w:t>
      </w:r>
      <w:r w:rsidRPr="000C7BA7">
        <w:t xml:space="preserve"> and </w:t>
      </w:r>
      <w:r w:rsidRPr="000C7BA7">
        <w:rPr>
          <w:i/>
          <w:iCs/>
        </w:rPr>
        <w:t>respiration (RE) of terrestrial biospheres</w:t>
      </w:r>
      <w:r w:rsidRPr="000C7BA7">
        <w:t xml:space="preserve">, </w:t>
      </w:r>
      <w:r w:rsidRPr="000C7BA7">
        <w:rPr>
          <w:i/>
          <w:iCs/>
        </w:rPr>
        <w:t>biomass burning</w:t>
      </w:r>
      <w:r w:rsidRPr="000C7BA7">
        <w:t xml:space="preserve">, and </w:t>
      </w:r>
      <w:r w:rsidRPr="000C7BA7">
        <w:rPr>
          <w:i/>
          <w:iCs/>
        </w:rPr>
        <w:t>oceans</w:t>
      </w:r>
      <w:r w:rsidRPr="000C7BA7">
        <w:t xml:space="preserve"> are denoted 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fos</m:t>
            </m:r>
          </m:sub>
        </m:sSub>
      </m:oMath>
      <w:r w:rsidRPr="000C7BA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GPP</m:t>
            </m:r>
          </m:sub>
        </m:sSub>
      </m:oMath>
      <w:r w:rsidRPr="000C7BA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RE</m:t>
            </m:r>
          </m:sub>
        </m:sSub>
      </m:oMath>
      <w:r w:rsidRPr="000C7BA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fire</m:t>
            </m:r>
          </m:sub>
        </m:sSub>
      </m:oMath>
      <w:r w:rsidRPr="000C7BA7"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ocn</m:t>
            </m:r>
          </m:sub>
        </m:sSub>
      </m:oMath>
      <w:r w:rsidRPr="000C7BA7">
        <w:t xml:space="preserve"> respectively. Other minor fluxes (e.g., land use change) are denoted 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other</m:t>
            </m:r>
          </m:sub>
        </m:sSub>
      </m:oMath>
      <w:r w:rsidRPr="000C7BA7">
        <w:t>, which are not optimized in the inversion. The above fluxes are prescribed by flux datasets</w:t>
      </w:r>
      <w:r w:rsidR="005853E5">
        <w:t>,</w:t>
      </w:r>
      <w:r w:rsidRPr="000C7BA7">
        <w:t xml:space="preserve"> prepared in advance and have monthly temporal resolution here. </w:t>
      </w:r>
      <m:oMath>
        <m:r>
          <w:rPr>
            <w:rFonts w:ascii="Cambria Math" w:hAnsi="Cambria Math"/>
          </w:rPr>
          <m:t>∆</m:t>
        </m:r>
      </m:oMath>
      <w:r w:rsidRPr="000C7BA7">
        <w:t xml:space="preserve"> variables are optimized in the inversion; their temporal resolutions are all set monthly except for the ocean flux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ocn</m:t>
            </m:r>
          </m:sub>
        </m:sSub>
      </m:oMath>
      <w:r w:rsidRPr="000C7BA7">
        <w:t xml:space="preserve">. The coefficients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GPP</m:t>
            </m:r>
          </m:sub>
        </m:sSub>
      </m:oMath>
      <w:r w:rsidRPr="000C7BA7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RE</m:t>
            </m:r>
          </m:sub>
        </m:sSub>
      </m:oMath>
      <w:r w:rsidRPr="000C7BA7">
        <w:t xml:space="preserve"> are scaling factors that reproduce diurnal variations; they distribute fluxes at 3-hourly resolution from the monthly fluxes.</w:t>
      </w:r>
    </w:p>
    <w:p w14:paraId="5787B804" w14:textId="2FBE8F4F" w:rsidR="000C7BA7" w:rsidRPr="00D959A4" w:rsidRDefault="000C7BA7" w:rsidP="000C7BA7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D959A4">
        <w:rPr>
          <w:u w:val="single"/>
        </w:rPr>
        <w:t>Optimization method</w:t>
      </w:r>
    </w:p>
    <w:p w14:paraId="7E26C384" w14:textId="5C3C55CC" w:rsidR="000C7BA7" w:rsidRPr="000C7BA7" w:rsidRDefault="000C7BA7" w:rsidP="000C7BA7">
      <w:pPr>
        <w:pStyle w:val="ListParagraph"/>
        <w:ind w:left="792"/>
        <w:jc w:val="both"/>
      </w:pPr>
      <w:r w:rsidRPr="000C7BA7">
        <w:t>PopuLar scheme (Fujii (2005); Niwa, Fujii, et al. (2017)) which is a quasi-newton BFGS method.</w:t>
      </w:r>
    </w:p>
    <w:p w14:paraId="0CAB4647" w14:textId="6614A754" w:rsidR="000C7BA7" w:rsidRPr="00D959A4" w:rsidRDefault="000C7BA7" w:rsidP="000C7BA7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D959A4">
        <w:rPr>
          <w:u w:val="single"/>
        </w:rPr>
        <w:t>Prescribed fluxes</w:t>
      </w:r>
    </w:p>
    <w:p w14:paraId="3EFAEF59" w14:textId="77777777" w:rsidR="000C7BA7" w:rsidRPr="000C7BA7" w:rsidRDefault="000C7BA7" w:rsidP="000C7BA7">
      <w:pPr>
        <w:pStyle w:val="ListParagraph"/>
        <w:ind w:left="792"/>
        <w:jc w:val="both"/>
      </w:pPr>
      <w:r w:rsidRPr="00D959A4">
        <w:rPr>
          <w:highlight w:val="lightGray"/>
        </w:rPr>
        <w:t>Fossil fuel:</w:t>
      </w:r>
      <w:r w:rsidRPr="000C7BA7">
        <w:t xml:space="preserve"> GCP-GridFEDv2024.1 (Jones et al., 2024)</w:t>
      </w:r>
    </w:p>
    <w:p w14:paraId="0FA44352" w14:textId="21E611E9" w:rsidR="000C7BA7" w:rsidRPr="000C7BA7" w:rsidRDefault="000C7BA7" w:rsidP="000C7BA7">
      <w:pPr>
        <w:pStyle w:val="ListParagraph"/>
        <w:ind w:left="792"/>
        <w:jc w:val="both"/>
      </w:pPr>
      <w:hyperlink r:id="rId7" w:history="1">
        <w:r w:rsidRPr="000C7BA7">
          <w:rPr>
            <w:rStyle w:val="Hyperlink"/>
          </w:rPr>
          <w:t>https://doi.org/10.5281/zenodo.13909046</w:t>
        </w:r>
      </w:hyperlink>
      <w:r w:rsidRPr="000C7BA7">
        <w:t xml:space="preserve"> </w:t>
      </w:r>
    </w:p>
    <w:p w14:paraId="3420568E" w14:textId="2E81A38B" w:rsidR="000C7BA7" w:rsidRPr="000C7BA7" w:rsidRDefault="000C7BA7" w:rsidP="000C7BA7">
      <w:pPr>
        <w:pStyle w:val="ListParagraph"/>
        <w:ind w:left="792"/>
        <w:jc w:val="both"/>
      </w:pPr>
      <w:r w:rsidRPr="00D959A4">
        <w:rPr>
          <w:highlight w:val="lightGray"/>
          <w:u w:val="single"/>
        </w:rPr>
        <w:t>Terrestrial Biosphere (GPP, RE, LUC):</w:t>
      </w:r>
      <w:r w:rsidRPr="000C7BA7">
        <w:t xml:space="preserve"> VISIT (</w:t>
      </w:r>
      <w:r w:rsidRPr="000C7BA7">
        <w:rPr>
          <w:sz w:val="22"/>
          <w:szCs w:val="22"/>
        </w:rPr>
        <w:t>Akihiko (2021)</w:t>
      </w:r>
      <w:r w:rsidRPr="000C7BA7">
        <w:t>)</w:t>
      </w:r>
    </w:p>
    <w:p w14:paraId="421BAF6A" w14:textId="47B96135" w:rsidR="000C7BA7" w:rsidRPr="000C7BA7" w:rsidRDefault="000C7BA7" w:rsidP="000C7BA7">
      <w:pPr>
        <w:pStyle w:val="ListParagraph"/>
        <w:ind w:left="792"/>
        <w:jc w:val="both"/>
      </w:pPr>
      <w:r w:rsidRPr="00D959A4">
        <w:rPr>
          <w:highlight w:val="lightGray"/>
        </w:rPr>
        <w:t>Air-sea exchange:</w:t>
      </w:r>
      <w:r w:rsidRPr="000C7BA7">
        <w:t xml:space="preserve"> JMA air-sea data (</w:t>
      </w:r>
      <w:r w:rsidRPr="000C7BA7">
        <w:rPr>
          <w:sz w:val="22"/>
          <w:szCs w:val="22"/>
        </w:rPr>
        <w:t>Iida et al, 2021</w:t>
      </w:r>
      <w:r w:rsidRPr="000C7BA7">
        <w:t>)</w:t>
      </w:r>
    </w:p>
    <w:p w14:paraId="1F189B36" w14:textId="009403C0" w:rsidR="000C7BA7" w:rsidRPr="000C7BA7" w:rsidRDefault="000C7BA7" w:rsidP="000C7BA7">
      <w:pPr>
        <w:pStyle w:val="ListParagraph"/>
        <w:ind w:left="792"/>
        <w:jc w:val="both"/>
      </w:pPr>
      <w:hyperlink r:id="rId8" w:history="1">
        <w:r w:rsidRPr="000C7BA7">
          <w:rPr>
            <w:rStyle w:val="Hyperlink"/>
          </w:rPr>
          <w:t>https://www.data.jma.go.jp/kaiyou/english/co2_flux/co2_flux_data_en.html</w:t>
        </w:r>
      </w:hyperlink>
      <w:r w:rsidRPr="000C7BA7">
        <w:t xml:space="preserve"> </w:t>
      </w:r>
    </w:p>
    <w:p w14:paraId="5FAEF1CB" w14:textId="77777777" w:rsidR="00AA7BE8" w:rsidRDefault="000C7BA7" w:rsidP="00AA7BE8">
      <w:pPr>
        <w:pStyle w:val="ListParagraph"/>
        <w:ind w:left="792"/>
        <w:jc w:val="both"/>
        <w:rPr>
          <w:sz w:val="22"/>
          <w:szCs w:val="22"/>
        </w:rPr>
      </w:pPr>
      <w:r w:rsidRPr="00D959A4">
        <w:rPr>
          <w:highlight w:val="lightGray"/>
        </w:rPr>
        <w:lastRenderedPageBreak/>
        <w:t>Biomass burning:</w:t>
      </w:r>
      <w:r w:rsidRPr="000C7BA7">
        <w:t xml:space="preserve"> Global Biomass Burning Emission Inventory (Shiraishi et al., 2021; Shiraishi &amp; Hirata (2021b)). </w:t>
      </w:r>
      <w:hyperlink r:id="rId9" w:history="1">
        <w:r w:rsidRPr="000C7BA7">
          <w:rPr>
            <w:rStyle w:val="Hyperlink"/>
            <w:sz w:val="22"/>
            <w:szCs w:val="22"/>
          </w:rPr>
          <w:t>https://www.nies.go.jp/doi/10.17595/20230124.001-e.html</w:t>
        </w:r>
      </w:hyperlink>
      <w:r w:rsidRPr="000C7BA7">
        <w:rPr>
          <w:sz w:val="22"/>
          <w:szCs w:val="22"/>
        </w:rPr>
        <w:t>.</w:t>
      </w:r>
    </w:p>
    <w:p w14:paraId="39A25A7F" w14:textId="02A1351F" w:rsidR="00BF4816" w:rsidRDefault="00BF4816" w:rsidP="00AA7BE8">
      <w:pPr>
        <w:pStyle w:val="ListParagraph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 that for the year not having data (e.g. 2025), either climatology (e.g. biomass burning) or the last available data (e.g. Fossil fuel, </w:t>
      </w:r>
      <w:r w:rsidR="00EF79E4">
        <w:rPr>
          <w:sz w:val="22"/>
          <w:szCs w:val="22"/>
        </w:rPr>
        <w:t xml:space="preserve">biospheric and </w:t>
      </w:r>
      <w:r>
        <w:rPr>
          <w:sz w:val="22"/>
          <w:szCs w:val="22"/>
        </w:rPr>
        <w:t>air-sea flux</w:t>
      </w:r>
      <w:r w:rsidR="00EF79E4">
        <w:rPr>
          <w:sz w:val="22"/>
          <w:szCs w:val="22"/>
        </w:rPr>
        <w:t>es</w:t>
      </w:r>
      <w:r>
        <w:rPr>
          <w:sz w:val="22"/>
          <w:szCs w:val="22"/>
        </w:rPr>
        <w:t>) is used.</w:t>
      </w:r>
    </w:p>
    <w:p w14:paraId="0A81C337" w14:textId="77777777" w:rsidR="00AA7BE8" w:rsidRDefault="000C7BA7" w:rsidP="00AA7BE8">
      <w:pPr>
        <w:pStyle w:val="ListParagraph"/>
        <w:numPr>
          <w:ilvl w:val="1"/>
          <w:numId w:val="6"/>
        </w:numPr>
        <w:jc w:val="both"/>
        <w:rPr>
          <w:u w:val="single"/>
        </w:rPr>
      </w:pPr>
      <w:r w:rsidRPr="00AA7BE8">
        <w:rPr>
          <w:u w:val="single"/>
        </w:rPr>
        <w:t>Analysis period</w:t>
      </w:r>
    </w:p>
    <w:p w14:paraId="49D6BF15" w14:textId="3DEF06F4" w:rsidR="007B0B6E" w:rsidRPr="00CF0481" w:rsidRDefault="000C7BA7" w:rsidP="00CF0481">
      <w:pPr>
        <w:pStyle w:val="ListParagraph"/>
        <w:ind w:left="792"/>
        <w:jc w:val="both"/>
        <w:rPr>
          <w:u w:val="single"/>
        </w:rPr>
      </w:pPr>
      <w:r w:rsidRPr="000C7BA7">
        <w:t>Jan</w:t>
      </w:r>
      <w:r>
        <w:t>uary</w:t>
      </w:r>
      <w:r w:rsidRPr="000C7BA7">
        <w:t xml:space="preserve"> </w:t>
      </w:r>
      <w:r>
        <w:t>2010</w:t>
      </w:r>
      <w:r w:rsidRPr="000C7BA7">
        <w:t xml:space="preserve"> – Dec</w:t>
      </w:r>
      <w:r>
        <w:t>ember</w:t>
      </w:r>
      <w:r w:rsidRPr="000C7BA7">
        <w:t xml:space="preserve"> 202</w:t>
      </w:r>
      <w:r>
        <w:t>5. GOSAT data is available since April, 2009 onwards and therefore 2009 is considered as spin-up and excluded from the analysis.</w:t>
      </w:r>
    </w:p>
    <w:p w14:paraId="729B3631" w14:textId="04ED5555" w:rsidR="007B0B6E" w:rsidRDefault="007B0B6E" w:rsidP="007B0B6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Main changes</w:t>
      </w:r>
    </w:p>
    <w:p w14:paraId="3C1675F6" w14:textId="3104BFA8" w:rsidR="007B0B6E" w:rsidRDefault="009A7D1D" w:rsidP="007B0B6E">
      <w:pPr>
        <w:pStyle w:val="ListParagraph"/>
        <w:ind w:left="360"/>
        <w:jc w:val="both"/>
      </w:pPr>
      <w:r>
        <w:t>I</w:t>
      </w:r>
      <w:r w:rsidR="008E5F9E">
        <w:t>nversion setup</w:t>
      </w:r>
      <w:r w:rsidR="007B0B6E">
        <w:t xml:space="preserve"> is </w:t>
      </w:r>
      <w:r>
        <w:t xml:space="preserve">mostly similar </w:t>
      </w:r>
      <w:r w:rsidR="009B7EC0">
        <w:t>to</w:t>
      </w:r>
      <w:r>
        <w:t xml:space="preserve"> the earlier</w:t>
      </w:r>
      <w:r w:rsidR="009B7EC0">
        <w:t>,</w:t>
      </w:r>
      <w:r>
        <w:t xml:space="preserve"> but t</w:t>
      </w:r>
      <w:r w:rsidR="009B7EC0">
        <w:t>e present</w:t>
      </w:r>
      <w:r>
        <w:t xml:space="preserve"> version is </w:t>
      </w:r>
      <w:r w:rsidR="007B0B6E">
        <w:t xml:space="preserve">designed </w:t>
      </w:r>
      <w:r w:rsidR="009B7EC0">
        <w:t xml:space="preserve">primarily </w:t>
      </w:r>
      <w:r w:rsidR="007B0B6E">
        <w:t xml:space="preserve">for satellite inversion. In addition, </w:t>
      </w:r>
      <w:r>
        <w:t xml:space="preserve">a </w:t>
      </w:r>
      <w:r w:rsidR="007B0B6E">
        <w:t>new biomass-burning dataset</w:t>
      </w:r>
      <w:r>
        <w:t>,</w:t>
      </w:r>
      <w:r w:rsidR="007B0B6E">
        <w:t xml:space="preserve"> GBEI (</w:t>
      </w:r>
      <w:r w:rsidR="007B0B6E" w:rsidRPr="007B0B6E">
        <w:t>Shiraishi et al., 2021; Shiraishi &amp; Hirata (2021b)</w:t>
      </w:r>
      <w:r w:rsidR="007B0B6E">
        <w:t>) is use</w:t>
      </w:r>
      <w:r>
        <w:t>d here</w:t>
      </w:r>
      <w:r w:rsidR="007B0B6E">
        <w:t>. The transport model is forced with JRA-3Q meteorological data</w:t>
      </w:r>
      <w:r>
        <w:t xml:space="preserve"> (Kosaka et al., 2024)</w:t>
      </w:r>
      <w:r w:rsidR="007B0B6E">
        <w:t>.</w:t>
      </w:r>
    </w:p>
    <w:p w14:paraId="3E459AD8" w14:textId="31080F24" w:rsidR="00015D03" w:rsidRDefault="00015D03" w:rsidP="00015D03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Observations</w:t>
      </w:r>
    </w:p>
    <w:p w14:paraId="185CE96A" w14:textId="556C7279" w:rsidR="00CF0481" w:rsidRPr="00CF0481" w:rsidRDefault="00015D03" w:rsidP="00CF0481">
      <w:pPr>
        <w:pStyle w:val="ListParagraph"/>
        <w:ind w:left="360"/>
        <w:jc w:val="both"/>
        <w:rPr>
          <w:rFonts w:ascii="Myriad Pro" w:hAnsi="Myriad Pro"/>
          <w:sz w:val="22"/>
          <w:szCs w:val="22"/>
        </w:rPr>
      </w:pPr>
      <w:r>
        <w:t>This experiment use</w:t>
      </w:r>
      <w:r w:rsidR="00A23F86">
        <w:t xml:space="preserve">s GOSAT-1 </w:t>
      </w:r>
      <w:r w:rsidR="006B6037">
        <w:t xml:space="preserve">observations of the </w:t>
      </w:r>
      <w:r w:rsidR="00A23F86" w:rsidRPr="00A23F86">
        <w:t>column-averaged dry-air mole fraction of atmospheric CO2 (XCO2)</w:t>
      </w:r>
      <w:r w:rsidR="006B6037">
        <w:t>,</w:t>
      </w:r>
      <w:r w:rsidR="00A23F86">
        <w:t xml:space="preserve"> which </w:t>
      </w:r>
      <w:r w:rsidR="00FA38BC">
        <w:t>have been</w:t>
      </w:r>
      <w:r w:rsidR="00A23F86">
        <w:t xml:space="preserve"> available since April 2009 and</w:t>
      </w:r>
      <w:r w:rsidR="006B6037">
        <w:t xml:space="preserve"> are</w:t>
      </w:r>
      <w:r w:rsidR="00A23F86">
        <w:t xml:space="preserve"> distributed as monthly archives of version </w:t>
      </w:r>
      <w:r w:rsidR="00A23F86" w:rsidRPr="00ED4AA9">
        <w:rPr>
          <w:rFonts w:ascii="Myriad Pro" w:hAnsi="Myriad Pro"/>
          <w:sz w:val="22"/>
          <w:szCs w:val="22"/>
        </w:rPr>
        <w:t>03.05 of the NIES GOSAT FTS Level 2 product (Yoshida et al., 2011, 2013; Someya et al. 2023).</w:t>
      </w:r>
      <w:r w:rsidR="00A23F86">
        <w:rPr>
          <w:rFonts w:ascii="Myriad Pro" w:hAnsi="Myriad Pro"/>
          <w:sz w:val="22"/>
          <w:szCs w:val="22"/>
        </w:rPr>
        <w:t xml:space="preserve"> </w:t>
      </w:r>
      <w:r w:rsidR="006B6037">
        <w:rPr>
          <w:rFonts w:ascii="Myriad Pro" w:hAnsi="Myriad Pro"/>
          <w:sz w:val="22"/>
          <w:szCs w:val="22"/>
        </w:rPr>
        <w:t xml:space="preserve">In this study, </w:t>
      </w:r>
      <w:r w:rsidR="00A23F86" w:rsidRPr="00ED4AA9">
        <w:rPr>
          <w:rFonts w:ascii="Myriad Pro" w:hAnsi="Myriad Pro"/>
          <w:sz w:val="22"/>
          <w:szCs w:val="22"/>
        </w:rPr>
        <w:t>we used land-only GOSAT data during 23 April 2009–28 February 2025.</w:t>
      </w:r>
    </w:p>
    <w:p w14:paraId="3FC7F7F2" w14:textId="28C4AA42" w:rsidR="00253CB0" w:rsidRPr="00D66B40" w:rsidRDefault="00CF0481" w:rsidP="00B26309">
      <w:pPr>
        <w:jc w:val="both"/>
      </w:pPr>
      <w:r>
        <w:t>References:</w:t>
      </w:r>
    </w:p>
    <w:p w14:paraId="759809D9" w14:textId="77777777" w:rsidR="007007A3" w:rsidRDefault="007007A3" w:rsidP="00D93845">
      <w:pPr>
        <w:pStyle w:val="ListParagraph"/>
        <w:numPr>
          <w:ilvl w:val="0"/>
          <w:numId w:val="8"/>
        </w:numPr>
        <w:jc w:val="both"/>
      </w:pPr>
      <w:r w:rsidRPr="00FB76E0">
        <w:t xml:space="preserve">Akihiko, I. (2021). Output data of greenhouse gas budget and carbon cycle simulated by the VISIT terrestrial ecosystem model. </w:t>
      </w:r>
      <w:r w:rsidRPr="00D93845">
        <w:rPr>
          <w:i/>
          <w:iCs/>
        </w:rPr>
        <w:t>(No Title)</w:t>
      </w:r>
      <w:r w:rsidRPr="00FB76E0">
        <w:t>. Retrieved from https://cir.nii.ac.jp/crid/1460569567971499392</w:t>
      </w:r>
      <w:r>
        <w:t>.</w:t>
      </w:r>
    </w:p>
    <w:p w14:paraId="64BEAD56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9F69AF">
        <w:t>Fujii, Y.: Preconditioned Optimizing Utility for Large-dimensional analyses (POpULar), J. Oceanogr., 61, 167–181,  https://doi.org/10.1007/s10872-005-0029-z, 2005.</w:t>
      </w:r>
    </w:p>
    <w:p w14:paraId="020C9E7A" w14:textId="77777777" w:rsidR="007007A3" w:rsidRDefault="007007A3" w:rsidP="00253CB0">
      <w:pPr>
        <w:pStyle w:val="ListParagraph"/>
        <w:numPr>
          <w:ilvl w:val="0"/>
          <w:numId w:val="8"/>
        </w:numPr>
        <w:jc w:val="both"/>
      </w:pPr>
      <w:r w:rsidRPr="009F69AF">
        <w:t xml:space="preserve">Iida, Y., Kojima, A., Takatani, Y., Nakano, T., Sugimoto, H., Midorikawa, T., and Ishii, M.: Trends in pCO2 and sea–air CO2 flux over the global open oceans for the last two decades, J. Oceanogr., 71, https://doi.org/10.1007/s10872-015-0306-4, 2015.  </w:t>
      </w:r>
    </w:p>
    <w:p w14:paraId="392866D1" w14:textId="77777777" w:rsidR="007007A3" w:rsidRDefault="007007A3" w:rsidP="00253CB0">
      <w:pPr>
        <w:pStyle w:val="ListParagraph"/>
        <w:numPr>
          <w:ilvl w:val="0"/>
          <w:numId w:val="8"/>
        </w:numPr>
        <w:jc w:val="both"/>
      </w:pPr>
      <w:r w:rsidRPr="00FB76E0">
        <w:t xml:space="preserve">Jones, M. W., Andrew, R. M., Peters, G. P., Janssens-Maenhout, G., De-Gol, A. J., Ciais, P., et al. (2021). Gridded fossil CO2 emissions and related O2 combustion consistent with national inventories 1959–2018. </w:t>
      </w:r>
      <w:r w:rsidRPr="00253CB0">
        <w:rPr>
          <w:i/>
          <w:iCs/>
        </w:rPr>
        <w:t>Scientific Data</w:t>
      </w:r>
      <w:r w:rsidRPr="00FB76E0">
        <w:t xml:space="preserve">, </w:t>
      </w:r>
      <w:r w:rsidRPr="00253CB0">
        <w:rPr>
          <w:i/>
          <w:iCs/>
        </w:rPr>
        <w:t>8</w:t>
      </w:r>
      <w:r w:rsidRPr="00FB76E0">
        <w:t>(1), 2.</w:t>
      </w:r>
    </w:p>
    <w:p w14:paraId="5DFD381E" w14:textId="77777777" w:rsidR="007007A3" w:rsidRDefault="007007A3" w:rsidP="00253CB0">
      <w:pPr>
        <w:pStyle w:val="ListParagraph"/>
        <w:numPr>
          <w:ilvl w:val="0"/>
          <w:numId w:val="8"/>
        </w:numPr>
        <w:jc w:val="both"/>
      </w:pPr>
      <w:r w:rsidRPr="00FB76E0">
        <w:t xml:space="preserve">Kosaka, Y., Kobayashi, S., Harada, Y., Kobayashi, C., Naoe, H., Yoshimoto, K., et al. (2024). The JRA-3Q Reanalysis. </w:t>
      </w:r>
      <w:r w:rsidRPr="00253CB0">
        <w:rPr>
          <w:i/>
          <w:iCs/>
        </w:rPr>
        <w:t>Journal of the Meteorological Society of Japan. Ser. II</w:t>
      </w:r>
      <w:r w:rsidRPr="00FB76E0">
        <w:t xml:space="preserve">, </w:t>
      </w:r>
      <w:r w:rsidRPr="00253CB0">
        <w:rPr>
          <w:i/>
          <w:iCs/>
        </w:rPr>
        <w:t>102</w:t>
      </w:r>
      <w:r w:rsidRPr="00FB76E0">
        <w:t xml:space="preserve">(1), 49–109. </w:t>
      </w:r>
      <w:hyperlink r:id="rId10" w:history="1">
        <w:r w:rsidRPr="009200D7">
          <w:rPr>
            <w:rStyle w:val="Hyperlink"/>
          </w:rPr>
          <w:t>https://doi.org/10.2151/jmsj.2024-004</w:t>
        </w:r>
      </w:hyperlink>
      <w:r>
        <w:t>.</w:t>
      </w:r>
    </w:p>
    <w:p w14:paraId="520DD3F1" w14:textId="1D509C6A" w:rsidR="00422C5D" w:rsidRDefault="00422C5D" w:rsidP="00422C5D">
      <w:pPr>
        <w:pStyle w:val="ListParagraph"/>
        <w:numPr>
          <w:ilvl w:val="0"/>
          <w:numId w:val="8"/>
        </w:numPr>
        <w:jc w:val="both"/>
      </w:pPr>
      <w:r>
        <w:t xml:space="preserve">Maity, S., Niwa, Y., Saeki, T., Someya, Y., Yoshida, Y., </w:t>
      </w:r>
      <w:r w:rsidRPr="00422C5D">
        <w:t>Drivers of 2023–2024 atmospheric CO2 growth: role of northern mid-to-high latitude land carbon cycle</w:t>
      </w:r>
      <w:r>
        <w:t xml:space="preserve"> (2026), </w:t>
      </w:r>
      <w:r w:rsidRPr="00422C5D">
        <w:t>Geophys. Res. Lett.</w:t>
      </w:r>
    </w:p>
    <w:p w14:paraId="565EBFB9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9F69AF">
        <w:lastRenderedPageBreak/>
        <w:t>Niwa, Y., Fujii, Y., Sawa, Y., Iida, Y., Ito, A., Satoh, M., Imasu, R., Tsuboi, K., Matsueda, H., and Saigusa, N.: A 4D-Var inversion system based on the icosahedral grid model (NICAM-TM 4DVar v1.0) – Part 2: Optimization scheme and identical twin experiment of atmospheric CO2 inversion, Geosci. Model Dev., 10, 2201–2219, https://doi.org/10.5194/gmd-10-2201-2017, 2017b.</w:t>
      </w:r>
    </w:p>
    <w:p w14:paraId="0BEDFA78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9F69AF">
        <w:t>Niwa, Y., Ishijima, K., Ito, A., and Iida, Y.: Toward a long-term atmospheric CO2 inversion for elucidating natural carbon fluxes: technical notes of NISMON-CO2 v2021.1, Prog. Earth Planet Sci., 9, 42, https://doi.org/10.1186/s40645-022-00502-6, 2022</w:t>
      </w:r>
      <w:r>
        <w:t>.</w:t>
      </w:r>
    </w:p>
    <w:p w14:paraId="43AE9467" w14:textId="77777777" w:rsidR="007007A3" w:rsidRDefault="007007A3" w:rsidP="00253CB0">
      <w:pPr>
        <w:pStyle w:val="ListParagraph"/>
        <w:numPr>
          <w:ilvl w:val="0"/>
          <w:numId w:val="8"/>
        </w:numPr>
        <w:jc w:val="both"/>
      </w:pPr>
      <w:r w:rsidRPr="009F69AF">
        <w:t>Niwa, Y., Sawa, Y., Nara, H., Machida, T., Matsueda, H., Umezawa, T., Ito, A., Nakaoka, S.-I., Tanimoto, H., and Tohjima Y.: Estimation of fire-induced carbon emissions from Equatorial Asia in 2015 using in situ aircraft and ship observations, Atmos. Chem. Phys., 21, 9455–9473, https://doi.org/10.5194/acp-21-9455-2021, 2021</w:t>
      </w:r>
      <w:r>
        <w:t>.</w:t>
      </w:r>
    </w:p>
    <w:p w14:paraId="1B7FFFD9" w14:textId="77777777" w:rsidR="007007A3" w:rsidRPr="00FB76E0" w:rsidRDefault="007007A3" w:rsidP="00253CB0">
      <w:pPr>
        <w:pStyle w:val="ListParagraph"/>
        <w:numPr>
          <w:ilvl w:val="0"/>
          <w:numId w:val="8"/>
        </w:numPr>
        <w:jc w:val="both"/>
      </w:pPr>
      <w:r w:rsidRPr="00FB76E0">
        <w:t xml:space="preserve">Niwa, Y., Tomita, H., Satoh, M., &amp; Imasu, R. (2011). A Three-Dimensional Icosahedral Grid Advection Scheme Preserving Monotonicity and Consistency with Continuity for Atmospheric Tracer Transport. </w:t>
      </w:r>
      <w:r w:rsidRPr="00253CB0">
        <w:rPr>
          <w:i/>
          <w:iCs/>
        </w:rPr>
        <w:t>Journal of the Meteorological Society of Japan. Ser. II</w:t>
      </w:r>
      <w:r w:rsidRPr="00FB76E0">
        <w:t xml:space="preserve">, </w:t>
      </w:r>
      <w:r w:rsidRPr="00253CB0">
        <w:rPr>
          <w:i/>
          <w:iCs/>
        </w:rPr>
        <w:t>89</w:t>
      </w:r>
      <w:r w:rsidRPr="00FB76E0">
        <w:t>(3), 255–268. https://doi.org/10.2151/jmsj.2011-306</w:t>
      </w:r>
      <w:r>
        <w:t>.</w:t>
      </w:r>
    </w:p>
    <w:p w14:paraId="1886E5CD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9F69AF">
        <w:t>Niwa, Y., Tomita, H., Satoh, M., Imasu, R., Sawa, Y., Tsuboi, K., Matsueda, H., Machida, T., Sasakawa, M., Belan, B., and Saigusa, N.: A 4D-Var inversion system based on the icosahedral grid model (NICAM-TM 4D-Var v1.0) – Part 1: Offline forward and adjoint transport models, Geosci. Model Dev., 10, 1157–1174, https://doi.org/10.5194/gmd-101157-2017, 2017a.</w:t>
      </w:r>
    </w:p>
    <w:p w14:paraId="0A2AA545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FB76E0">
        <w:t xml:space="preserve">Output data of greenhouse gas budget and carbon cycle simulated by the VISIT terrestrial ecosystem model. </w:t>
      </w:r>
      <w:r w:rsidRPr="00FB76E0">
        <w:rPr>
          <w:i/>
          <w:iCs/>
        </w:rPr>
        <w:t>(No Title)</w:t>
      </w:r>
      <w:r w:rsidRPr="00FB76E0">
        <w:t xml:space="preserve">. Retrieved from </w:t>
      </w:r>
      <w:hyperlink r:id="rId11" w:history="1">
        <w:r w:rsidRPr="009200D7">
          <w:rPr>
            <w:rStyle w:val="Hyperlink"/>
          </w:rPr>
          <w:t>https://cir.nii.ac.jp/crid/1460569567971499392</w:t>
        </w:r>
      </w:hyperlink>
    </w:p>
    <w:p w14:paraId="2112F999" w14:textId="77777777" w:rsidR="007007A3" w:rsidRDefault="007007A3" w:rsidP="00CF0481">
      <w:pPr>
        <w:pStyle w:val="ListParagraph"/>
        <w:numPr>
          <w:ilvl w:val="0"/>
          <w:numId w:val="8"/>
        </w:numPr>
        <w:jc w:val="both"/>
      </w:pPr>
      <w:r w:rsidRPr="00FB76E0">
        <w:t xml:space="preserve">Shiraishi, T., &amp; Hirata, R. (2021). Estimation of carbon dioxide emissions from the megafires of Australia in 2019–2020. </w:t>
      </w:r>
      <w:r w:rsidRPr="00230657">
        <w:rPr>
          <w:i/>
          <w:iCs/>
        </w:rPr>
        <w:t>Scientific Reports</w:t>
      </w:r>
      <w:r w:rsidRPr="00FB76E0">
        <w:t xml:space="preserve">, </w:t>
      </w:r>
      <w:r w:rsidRPr="00230657">
        <w:rPr>
          <w:i/>
          <w:iCs/>
        </w:rPr>
        <w:t>11</w:t>
      </w:r>
      <w:r w:rsidRPr="00FB76E0">
        <w:t>(1), 8267.</w:t>
      </w:r>
    </w:p>
    <w:p w14:paraId="6FFE1887" w14:textId="77777777" w:rsidR="007007A3" w:rsidRDefault="007007A3" w:rsidP="00BC096C">
      <w:pPr>
        <w:pStyle w:val="ListParagraph"/>
        <w:numPr>
          <w:ilvl w:val="0"/>
          <w:numId w:val="8"/>
        </w:numPr>
        <w:jc w:val="both"/>
      </w:pPr>
      <w:r w:rsidRPr="00FB76E0">
        <w:t xml:space="preserve">Shiraishi, T., Hirata, R., &amp; Hirano, T. (2021). New inventories of global carbon dioxide emissions through biomass burning in 2001–2020. </w:t>
      </w:r>
      <w:r w:rsidRPr="00230657">
        <w:rPr>
          <w:i/>
          <w:iCs/>
        </w:rPr>
        <w:t>Remote Sensing</w:t>
      </w:r>
      <w:r w:rsidRPr="00FB76E0">
        <w:t xml:space="preserve">, </w:t>
      </w:r>
      <w:r w:rsidRPr="00230657">
        <w:rPr>
          <w:i/>
          <w:iCs/>
        </w:rPr>
        <w:t>13</w:t>
      </w:r>
      <w:r w:rsidRPr="00FB76E0">
        <w:t>(10), 1914.</w:t>
      </w:r>
    </w:p>
    <w:p w14:paraId="01FFEADC" w14:textId="77777777" w:rsidR="007007A3" w:rsidRDefault="007007A3" w:rsidP="00BC096C">
      <w:pPr>
        <w:pStyle w:val="ListParagraph"/>
        <w:numPr>
          <w:ilvl w:val="0"/>
          <w:numId w:val="8"/>
        </w:numPr>
        <w:jc w:val="both"/>
      </w:pPr>
      <w:r w:rsidRPr="00FB76E0">
        <w:t xml:space="preserve">Someya, Y., Yoshida, Y., Ohyama, H., Nomura, S., Kamei, A., Morino, I., et al. (2023). Update on the GOSAT TANSO–FTS SWIR Level 2 retrieval algorithm. </w:t>
      </w:r>
      <w:r w:rsidRPr="00BC096C">
        <w:rPr>
          <w:i/>
          <w:iCs/>
        </w:rPr>
        <w:t>Atmospheric Measurement Techniques</w:t>
      </w:r>
      <w:r w:rsidRPr="00FB76E0">
        <w:t xml:space="preserve">, </w:t>
      </w:r>
      <w:r w:rsidRPr="00BC096C">
        <w:rPr>
          <w:i/>
          <w:iCs/>
        </w:rPr>
        <w:t>16</w:t>
      </w:r>
      <w:r w:rsidRPr="00FB76E0">
        <w:t xml:space="preserve">(6), 1477–1501. </w:t>
      </w:r>
      <w:hyperlink r:id="rId12" w:history="1">
        <w:r w:rsidRPr="009200D7">
          <w:rPr>
            <w:rStyle w:val="Hyperlink"/>
          </w:rPr>
          <w:t>https://doi.org/10.5194/amt-16-1477-2023</w:t>
        </w:r>
      </w:hyperlink>
      <w:r>
        <w:t>.</w:t>
      </w:r>
    </w:p>
    <w:p w14:paraId="51E1981E" w14:textId="77777777" w:rsidR="007007A3" w:rsidRPr="000C7BA7" w:rsidRDefault="007007A3" w:rsidP="007B0B6E">
      <w:pPr>
        <w:pStyle w:val="ListParagraph"/>
        <w:numPr>
          <w:ilvl w:val="0"/>
          <w:numId w:val="8"/>
        </w:numPr>
        <w:jc w:val="both"/>
      </w:pPr>
      <w:r w:rsidRPr="00FB76E0">
        <w:t>Yoshida, Y., Kikuchi, N., Morino, I., Uchino, O., Oshchepkov, S., Bril, A., et al. (2013). Improvement of the retrieval algorithm for GOSAT SWIR XCO</w:t>
      </w:r>
      <w:r w:rsidRPr="00BC096C">
        <w:rPr>
          <w:vertAlign w:val="subscript"/>
        </w:rPr>
        <w:t>2</w:t>
      </w:r>
      <w:r w:rsidRPr="00FB76E0">
        <w:t xml:space="preserve"> and XCH</w:t>
      </w:r>
      <w:r w:rsidRPr="00BC096C">
        <w:rPr>
          <w:vertAlign w:val="subscript"/>
        </w:rPr>
        <w:t>4</w:t>
      </w:r>
      <w:r w:rsidRPr="00FB76E0">
        <w:t xml:space="preserve"> and their validation using TCCON data. </w:t>
      </w:r>
      <w:r w:rsidRPr="00BC096C">
        <w:rPr>
          <w:i/>
          <w:iCs/>
        </w:rPr>
        <w:t>Atmospheric Measurement Techniques</w:t>
      </w:r>
      <w:r w:rsidRPr="00FB76E0">
        <w:t xml:space="preserve">, </w:t>
      </w:r>
      <w:r w:rsidRPr="00BC096C">
        <w:rPr>
          <w:i/>
          <w:iCs/>
        </w:rPr>
        <w:t>6</w:t>
      </w:r>
      <w:r w:rsidRPr="00FB76E0">
        <w:t>(6), 1533–1547. https://doi.org/10.5194/amt-6-1533-2013</w:t>
      </w:r>
      <w:r>
        <w:t>.</w:t>
      </w:r>
    </w:p>
    <w:p w14:paraId="56959875" w14:textId="77777777" w:rsidR="007007A3" w:rsidRDefault="007007A3" w:rsidP="00BC096C">
      <w:pPr>
        <w:pStyle w:val="ListParagraph"/>
        <w:numPr>
          <w:ilvl w:val="0"/>
          <w:numId w:val="8"/>
        </w:numPr>
        <w:jc w:val="both"/>
      </w:pPr>
      <w:r w:rsidRPr="00FB76E0">
        <w:lastRenderedPageBreak/>
        <w:t xml:space="preserve">Yoshida, Y., Ota, Y., Eguchi, N., Kikuchi, N., Nobuta, K., Tran, H., et al. (2011). Retrieval algorithm for CO 2 and CH 4 column abundances from short-wavelength infrared spectral observations by the Greenhouse gases observing satellite. </w:t>
      </w:r>
      <w:r w:rsidRPr="00BC096C">
        <w:rPr>
          <w:i/>
          <w:iCs/>
        </w:rPr>
        <w:t>Atmospheric Measurement Techniques</w:t>
      </w:r>
      <w:r w:rsidRPr="00FB76E0">
        <w:t xml:space="preserve">, </w:t>
      </w:r>
      <w:r w:rsidRPr="00BC096C">
        <w:rPr>
          <w:i/>
          <w:iCs/>
        </w:rPr>
        <w:t>4</w:t>
      </w:r>
      <w:r w:rsidRPr="00FB76E0">
        <w:t>(4), 717–734.</w:t>
      </w:r>
    </w:p>
    <w:sectPr w:rsidR="00700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DA"/>
    <w:multiLevelType w:val="multilevel"/>
    <w:tmpl w:val="A1722E6A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1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843F68"/>
    <w:multiLevelType w:val="hybridMultilevel"/>
    <w:tmpl w:val="312E253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259D9"/>
    <w:multiLevelType w:val="multilevel"/>
    <w:tmpl w:val="4B0A1304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CDC"/>
    <w:multiLevelType w:val="hybridMultilevel"/>
    <w:tmpl w:val="4C06E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747D1"/>
    <w:multiLevelType w:val="multilevel"/>
    <w:tmpl w:val="615A570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D15FF"/>
    <w:multiLevelType w:val="multilevel"/>
    <w:tmpl w:val="AE36FE44"/>
    <w:styleLink w:val="CurrentList2"/>
    <w:lvl w:ilvl="0">
      <w:start w:val="1"/>
      <w:numFmt w:val="none"/>
      <w:lvlText w:val="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2A95"/>
    <w:multiLevelType w:val="hybridMultilevel"/>
    <w:tmpl w:val="C1D2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7737">
    <w:abstractNumId w:val="2"/>
  </w:num>
  <w:num w:numId="2" w16cid:durableId="1580291550">
    <w:abstractNumId w:val="5"/>
  </w:num>
  <w:num w:numId="3" w16cid:durableId="244609206">
    <w:abstractNumId w:val="6"/>
  </w:num>
  <w:num w:numId="4" w16cid:durableId="539827076">
    <w:abstractNumId w:val="4"/>
  </w:num>
  <w:num w:numId="5" w16cid:durableId="1042755876">
    <w:abstractNumId w:val="0"/>
  </w:num>
  <w:num w:numId="6" w16cid:durableId="729841069">
    <w:abstractNumId w:val="1"/>
  </w:num>
  <w:num w:numId="7" w16cid:durableId="615063846">
    <w:abstractNumId w:val="3"/>
  </w:num>
  <w:num w:numId="8" w16cid:durableId="715660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A7"/>
    <w:rsid w:val="00011533"/>
    <w:rsid w:val="00015D03"/>
    <w:rsid w:val="000C7BA7"/>
    <w:rsid w:val="00136D57"/>
    <w:rsid w:val="00230657"/>
    <w:rsid w:val="00253CB0"/>
    <w:rsid w:val="00422C5D"/>
    <w:rsid w:val="004906A6"/>
    <w:rsid w:val="004A77B3"/>
    <w:rsid w:val="004C368E"/>
    <w:rsid w:val="00577E9B"/>
    <w:rsid w:val="005853E5"/>
    <w:rsid w:val="005F465E"/>
    <w:rsid w:val="006B6037"/>
    <w:rsid w:val="007007A3"/>
    <w:rsid w:val="00702E5A"/>
    <w:rsid w:val="007B0B6E"/>
    <w:rsid w:val="00820A7D"/>
    <w:rsid w:val="00832454"/>
    <w:rsid w:val="00854F69"/>
    <w:rsid w:val="008E5F9E"/>
    <w:rsid w:val="009A7D1D"/>
    <w:rsid w:val="009B7EC0"/>
    <w:rsid w:val="009F69AF"/>
    <w:rsid w:val="00A23F86"/>
    <w:rsid w:val="00AA7BE8"/>
    <w:rsid w:val="00B26309"/>
    <w:rsid w:val="00BC096C"/>
    <w:rsid w:val="00BF4816"/>
    <w:rsid w:val="00C0410D"/>
    <w:rsid w:val="00C833C9"/>
    <w:rsid w:val="00CF0481"/>
    <w:rsid w:val="00D14279"/>
    <w:rsid w:val="00D62931"/>
    <w:rsid w:val="00D66B40"/>
    <w:rsid w:val="00D93845"/>
    <w:rsid w:val="00D959A4"/>
    <w:rsid w:val="00EF79E4"/>
    <w:rsid w:val="00F26A15"/>
    <w:rsid w:val="00F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53EE5"/>
  <w15:chartTrackingRefBased/>
  <w15:docId w15:val="{B644EEFD-3332-804E-BD04-67805C8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A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C7BA7"/>
    <w:pPr>
      <w:numPr>
        <w:numId w:val="2"/>
      </w:numPr>
    </w:pPr>
  </w:style>
  <w:style w:type="numbering" w:customStyle="1" w:styleId="CurrentList2">
    <w:name w:val="Current List2"/>
    <w:uiPriority w:val="99"/>
    <w:rsid w:val="000C7BA7"/>
    <w:pPr>
      <w:numPr>
        <w:numId w:val="3"/>
      </w:numPr>
    </w:pPr>
  </w:style>
  <w:style w:type="numbering" w:customStyle="1" w:styleId="CurrentList3">
    <w:name w:val="Current List3"/>
    <w:uiPriority w:val="99"/>
    <w:rsid w:val="000C7BA7"/>
    <w:pPr>
      <w:numPr>
        <w:numId w:val="5"/>
      </w:numPr>
    </w:pPr>
  </w:style>
  <w:style w:type="numbering" w:customStyle="1" w:styleId="CurrentList4">
    <w:name w:val="Current List4"/>
    <w:uiPriority w:val="99"/>
    <w:rsid w:val="000C7BA7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0C7BA7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9F69AF"/>
  </w:style>
  <w:style w:type="paragraph" w:customStyle="1" w:styleId="SMText">
    <w:name w:val="SM Text"/>
    <w:basedOn w:val="Normal"/>
    <w:qFormat/>
    <w:rsid w:val="00A23F86"/>
    <w:pPr>
      <w:spacing w:after="0" w:line="240" w:lineRule="auto"/>
      <w:ind w:firstLine="480"/>
    </w:pPr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paragraph" w:customStyle="1" w:styleId="Authors">
    <w:name w:val="Authors"/>
    <w:basedOn w:val="Normal"/>
    <w:rsid w:val="00422C5D"/>
    <w:pPr>
      <w:spacing w:before="120" w:after="360" w:line="240" w:lineRule="auto"/>
    </w:pPr>
    <w:rPr>
      <w:rFonts w:ascii="Times New Roman" w:eastAsia="Times New Roman" w:hAnsi="Times New Roman" w:cs="Times New Roman"/>
      <w:b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.jma.go.jp/kaiyou/english/co2_flux/co2_flux_data_e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3909046" TargetMode="External"/><Relationship Id="rId12" Type="http://schemas.openxmlformats.org/officeDocument/2006/relationships/hyperlink" Target="https://doi.org/10.5194/amt-16-1477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wa.yosuke@noes.go.jp" TargetMode="External"/><Relationship Id="rId11" Type="http://schemas.openxmlformats.org/officeDocument/2006/relationships/hyperlink" Target="https://cir.nii.ac.jp/crid/1460569567971499392" TargetMode="External"/><Relationship Id="rId5" Type="http://schemas.openxmlformats.org/officeDocument/2006/relationships/hyperlink" Target="mailto:maity.suman@nies.go.jp" TargetMode="External"/><Relationship Id="rId10" Type="http://schemas.openxmlformats.org/officeDocument/2006/relationships/hyperlink" Target="https://doi.org/10.2151/jmsj.2024-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es.go.jp/doi/10.17595/20230124.001-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1115</Words>
  <Characters>6897</Characters>
  <Application>Microsoft Office Word</Application>
  <DocSecurity>0</DocSecurity>
  <Lines>123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MAITY Suman</dc:creator>
  <cp:keywords/>
  <dc:description/>
  <cp:lastModifiedBy>MAITY Suman</cp:lastModifiedBy>
  <cp:revision>32</cp:revision>
  <dcterms:created xsi:type="dcterms:W3CDTF">2026-03-19T07:33:00Z</dcterms:created>
  <dcterms:modified xsi:type="dcterms:W3CDTF">2026-03-20T02:14:00Z</dcterms:modified>
</cp:coreProperties>
</file>